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D5A" w:rsidRDefault="004B0D5A" w:rsidP="003839E1">
      <w:pPr>
        <w:spacing w:after="0" w:line="480" w:lineRule="auto"/>
        <w:jc w:val="center"/>
        <w:rPr>
          <w:rFonts w:ascii="Times New Roman" w:hAnsi="Times New Roman" w:cs="Times New Roman"/>
          <w:sz w:val="24"/>
          <w:szCs w:val="24"/>
        </w:rPr>
      </w:pPr>
    </w:p>
    <w:p w:rsidR="004B0D5A" w:rsidRDefault="004B0D5A" w:rsidP="003839E1">
      <w:pPr>
        <w:spacing w:after="0" w:line="480" w:lineRule="auto"/>
        <w:jc w:val="center"/>
        <w:rPr>
          <w:rFonts w:ascii="Times New Roman" w:hAnsi="Times New Roman" w:cs="Times New Roman"/>
          <w:sz w:val="24"/>
          <w:szCs w:val="24"/>
        </w:rPr>
      </w:pPr>
    </w:p>
    <w:p w:rsidR="004B0D5A" w:rsidRDefault="004B0D5A" w:rsidP="003839E1">
      <w:pPr>
        <w:spacing w:after="0" w:line="480" w:lineRule="auto"/>
        <w:jc w:val="center"/>
        <w:rPr>
          <w:rFonts w:ascii="Times New Roman" w:hAnsi="Times New Roman" w:cs="Times New Roman"/>
          <w:sz w:val="24"/>
          <w:szCs w:val="24"/>
        </w:rPr>
      </w:pPr>
    </w:p>
    <w:p w:rsidR="004B0D5A" w:rsidRDefault="004B0D5A" w:rsidP="003839E1">
      <w:pPr>
        <w:spacing w:after="0" w:line="480" w:lineRule="auto"/>
        <w:jc w:val="center"/>
        <w:rPr>
          <w:rFonts w:ascii="Times New Roman" w:hAnsi="Times New Roman" w:cs="Times New Roman"/>
          <w:sz w:val="24"/>
          <w:szCs w:val="24"/>
        </w:rPr>
      </w:pPr>
    </w:p>
    <w:p w:rsidR="003839E1" w:rsidRDefault="004B0D5A" w:rsidP="003839E1">
      <w:pPr>
        <w:spacing w:after="0" w:line="480" w:lineRule="auto"/>
        <w:jc w:val="center"/>
        <w:rPr>
          <w:rFonts w:ascii="Times New Roman" w:hAnsi="Times New Roman" w:cs="Times New Roman"/>
          <w:sz w:val="24"/>
          <w:szCs w:val="24"/>
        </w:rPr>
      </w:pPr>
      <w:r w:rsidRPr="003839E1">
        <w:rPr>
          <w:rFonts w:ascii="Times New Roman" w:hAnsi="Times New Roman" w:cs="Times New Roman"/>
          <w:sz w:val="24"/>
          <w:szCs w:val="24"/>
        </w:rPr>
        <w:t xml:space="preserve">Impact of Climate Change </w:t>
      </w:r>
      <w:r>
        <w:rPr>
          <w:rFonts w:ascii="Times New Roman" w:hAnsi="Times New Roman" w:cs="Times New Roman"/>
          <w:sz w:val="24"/>
          <w:szCs w:val="24"/>
        </w:rPr>
        <w:t>o</w:t>
      </w:r>
      <w:r w:rsidRPr="003839E1">
        <w:rPr>
          <w:rFonts w:ascii="Times New Roman" w:hAnsi="Times New Roman" w:cs="Times New Roman"/>
          <w:sz w:val="24"/>
          <w:szCs w:val="24"/>
        </w:rPr>
        <w:t>n Australia’s Transportation Sector</w:t>
      </w:r>
    </w:p>
    <w:p w:rsidR="001610C6" w:rsidRDefault="001610C6" w:rsidP="003839E1">
      <w:pPr>
        <w:spacing w:after="0" w:line="480" w:lineRule="auto"/>
        <w:jc w:val="center"/>
        <w:rPr>
          <w:rFonts w:ascii="Times New Roman" w:hAnsi="Times New Roman" w:cs="Times New Roman"/>
          <w:sz w:val="24"/>
          <w:szCs w:val="24"/>
        </w:rPr>
      </w:pPr>
    </w:p>
    <w:p w:rsidR="001610C6" w:rsidRDefault="001610C6" w:rsidP="003839E1">
      <w:pPr>
        <w:spacing w:after="0" w:line="480" w:lineRule="auto"/>
        <w:jc w:val="center"/>
        <w:rPr>
          <w:rFonts w:ascii="Times New Roman" w:hAnsi="Times New Roman" w:cs="Times New Roman"/>
          <w:sz w:val="24"/>
          <w:szCs w:val="24"/>
        </w:rPr>
      </w:pPr>
    </w:p>
    <w:p w:rsidR="001610C6" w:rsidRDefault="001610C6" w:rsidP="003839E1">
      <w:pPr>
        <w:spacing w:after="0" w:line="480" w:lineRule="auto"/>
        <w:jc w:val="center"/>
        <w:rPr>
          <w:rFonts w:ascii="Times New Roman" w:hAnsi="Times New Roman" w:cs="Times New Roman"/>
          <w:sz w:val="24"/>
          <w:szCs w:val="24"/>
        </w:rPr>
      </w:pPr>
    </w:p>
    <w:p w:rsidR="003839E1" w:rsidRDefault="001610C6" w:rsidP="003839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610C6" w:rsidRDefault="001610C6" w:rsidP="003839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1610C6" w:rsidRPr="003839E1" w:rsidRDefault="001610C6" w:rsidP="003839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Department, University </w:t>
      </w:r>
    </w:p>
    <w:p w:rsidR="001610C6" w:rsidRDefault="001610C6">
      <w:pPr>
        <w:rPr>
          <w:rFonts w:ascii="Times New Roman" w:hAnsi="Times New Roman" w:cs="Times New Roman"/>
          <w:sz w:val="24"/>
          <w:szCs w:val="24"/>
        </w:rPr>
      </w:pPr>
      <w:r>
        <w:rPr>
          <w:rFonts w:ascii="Times New Roman" w:hAnsi="Times New Roman" w:cs="Times New Roman"/>
          <w:sz w:val="24"/>
          <w:szCs w:val="24"/>
        </w:rPr>
        <w:br w:type="page"/>
      </w:r>
    </w:p>
    <w:p w:rsidR="003839E1" w:rsidRPr="003839E1" w:rsidRDefault="003839E1" w:rsidP="001610C6">
      <w:pPr>
        <w:spacing w:after="0" w:line="480" w:lineRule="auto"/>
        <w:ind w:left="720" w:firstLine="720"/>
        <w:rPr>
          <w:rFonts w:ascii="Times New Roman" w:hAnsi="Times New Roman" w:cs="Times New Roman"/>
          <w:sz w:val="24"/>
          <w:szCs w:val="24"/>
        </w:rPr>
      </w:pPr>
      <w:r w:rsidRPr="003839E1">
        <w:rPr>
          <w:rFonts w:ascii="Times New Roman" w:hAnsi="Times New Roman" w:cs="Times New Roman"/>
          <w:sz w:val="24"/>
          <w:szCs w:val="24"/>
        </w:rPr>
        <w:lastRenderedPageBreak/>
        <w:t>Impact of Climate Change on Australia’s Transportation Sector</w:t>
      </w:r>
    </w:p>
    <w:p w:rsidR="00886B32"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From the fires that continue to ravage forest in Western parts of North American continent and Australia, to flash flooding Europe, right across the globe, we are experiencing climate change impact. Every sector has had a story to tell on how climate change has adversely impacted their everyday activities. For instance, in the transport sector, the impact that has been witnessed cannot be underestimated. The destruction of roads, bridges, rails, and various transport modes has been immense (Sydney University, 2019). These destructions have, in turn, resulted in the damaging of properties and even taking away people’s lives as a result of accidents.</w:t>
      </w:r>
    </w:p>
    <w:p w:rsidR="00886B32"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 xml:space="preserve">The transporter sector is an important and necessary enabler of business encompassing rail, air, roads, and maritime transport. The sector virtually underlies all other sectors and extensively relies on infrastructure. Sea level rise, rain, flooding, higher temperature, and storms pose immediate and long-term risks and impacts for the sector’s daily operations. Flooding caused by heavy rains have washed away roads in different parts of Australia, rendering road transportation difficulty. Besides the heavy rains, scorching sun heat results in higher temperatures that impact the roads. Higher temperatures cause the softening and expansion of the road, thereby leading to the creation of ruts and potholes that hinder road transport efficiency. The high temperatures cause warping for the rail tracks, which hinders efficiency since trains will be forced to restrict their speeds. Extreme sunny conditions cause drought, which implies absence of water, thereby triggering an increase in transportation cost, especially for manufacturing vehicles that require large amounts of water. Such incurred expenses are a burden to the company, whose also push it to the consumers who may start complaining of harsh economic times. The extreme weather conditions also interrupt the supply of raw materials due </w:t>
      </w:r>
      <w:r w:rsidRPr="003839E1">
        <w:rPr>
          <w:rFonts w:ascii="Times New Roman" w:hAnsi="Times New Roman" w:cs="Times New Roman"/>
          <w:sz w:val="24"/>
          <w:szCs w:val="24"/>
        </w:rPr>
        <w:lastRenderedPageBreak/>
        <w:t>to the destruction of the system's transportation. Today, Australia’s ports are at a very high risk of being partly being submerged as a result of the rising sea level</w:t>
      </w:r>
      <w:sdt>
        <w:sdtPr>
          <w:rPr>
            <w:rFonts w:ascii="Times New Roman" w:hAnsi="Times New Roman" w:cs="Times New Roman"/>
            <w:sz w:val="24"/>
            <w:szCs w:val="24"/>
          </w:rPr>
          <w:id w:val="274984599"/>
          <w:citation/>
        </w:sdtPr>
        <w:sdtEndPr/>
        <w:sdtContent>
          <w:r w:rsidR="00315515" w:rsidRPr="003839E1">
            <w:rPr>
              <w:rFonts w:ascii="Times New Roman" w:hAnsi="Times New Roman" w:cs="Times New Roman"/>
              <w:sz w:val="24"/>
              <w:szCs w:val="24"/>
            </w:rPr>
            <w:fldChar w:fldCharType="begin"/>
          </w:r>
          <w:r w:rsidR="00315515" w:rsidRPr="003839E1">
            <w:rPr>
              <w:rFonts w:ascii="Times New Roman" w:hAnsi="Times New Roman" w:cs="Times New Roman"/>
              <w:sz w:val="24"/>
              <w:szCs w:val="24"/>
            </w:rPr>
            <w:instrText xml:space="preserve"> CITATION Cli16 \l 1033 </w:instrText>
          </w:r>
          <w:r w:rsidR="00315515" w:rsidRPr="003839E1">
            <w:rPr>
              <w:rFonts w:ascii="Times New Roman" w:hAnsi="Times New Roman" w:cs="Times New Roman"/>
              <w:sz w:val="24"/>
              <w:szCs w:val="24"/>
            </w:rPr>
            <w:fldChar w:fldCharType="separate"/>
          </w:r>
          <w:r w:rsidR="00315515" w:rsidRPr="003839E1">
            <w:rPr>
              <w:rFonts w:ascii="Times New Roman" w:hAnsi="Times New Roman" w:cs="Times New Roman"/>
              <w:noProof/>
              <w:sz w:val="24"/>
              <w:szCs w:val="24"/>
            </w:rPr>
            <w:t xml:space="preserve"> (Cliamte Council, 2016)</w:t>
          </w:r>
          <w:r w:rsidR="00315515" w:rsidRPr="003839E1">
            <w:rPr>
              <w:rFonts w:ascii="Times New Roman" w:hAnsi="Times New Roman" w:cs="Times New Roman"/>
              <w:sz w:val="24"/>
              <w:szCs w:val="24"/>
            </w:rPr>
            <w:fldChar w:fldCharType="end"/>
          </w:r>
        </w:sdtContent>
      </w:sdt>
      <w:r w:rsidRPr="003839E1">
        <w:rPr>
          <w:rFonts w:ascii="Times New Roman" w:hAnsi="Times New Roman" w:cs="Times New Roman"/>
          <w:sz w:val="24"/>
          <w:szCs w:val="24"/>
        </w:rPr>
        <w:t>. Thus, it is evident that the transport sector is a contributor and a victim to climate change. A number of policies have come into play with the objective of mitigating the causes of climate change, but there has to smile about as far as positive change is concerned.</w:t>
      </w:r>
    </w:p>
    <w:p w:rsidR="00886B32"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The former Labor Government’s Carbon Tax is one of the Australian government's policies through the Clean Energy Act 2011. The policy was a carbon controlling scheme that was intended to control the carbon emissions in the country. It also aimed to support the growth of the Australian economy through the development of clean energy technologies. The Climate Change Authority and the Clean Energy Regulator (CER) were the agencies charged to ensure that the policy’s objectives were met. It was an industrious plan for a country that has always suffered at the hands of extreme weather conditions. The policy’s fruits were seen, but due to significant challenges that it faced from the public and opposition, it was repealed in 2014</w:t>
      </w:r>
      <w:sdt>
        <w:sdtPr>
          <w:rPr>
            <w:rFonts w:ascii="Times New Roman" w:hAnsi="Times New Roman" w:cs="Times New Roman"/>
            <w:sz w:val="24"/>
            <w:szCs w:val="24"/>
          </w:rPr>
          <w:id w:val="-186454917"/>
          <w:citation/>
        </w:sdtPr>
        <w:sdtEndPr/>
        <w:sdtContent>
          <w:r w:rsidR="00315515" w:rsidRPr="003839E1">
            <w:rPr>
              <w:rFonts w:ascii="Times New Roman" w:hAnsi="Times New Roman" w:cs="Times New Roman"/>
              <w:sz w:val="24"/>
              <w:szCs w:val="24"/>
            </w:rPr>
            <w:fldChar w:fldCharType="begin"/>
          </w:r>
          <w:r w:rsidR="00315515" w:rsidRPr="003839E1">
            <w:rPr>
              <w:rFonts w:ascii="Times New Roman" w:hAnsi="Times New Roman" w:cs="Times New Roman"/>
              <w:sz w:val="24"/>
              <w:szCs w:val="24"/>
            </w:rPr>
            <w:instrText xml:space="preserve"> CITATION Iri17 \l 1033 </w:instrText>
          </w:r>
          <w:r w:rsidR="00315515" w:rsidRPr="003839E1">
            <w:rPr>
              <w:rFonts w:ascii="Times New Roman" w:hAnsi="Times New Roman" w:cs="Times New Roman"/>
              <w:sz w:val="24"/>
              <w:szCs w:val="24"/>
            </w:rPr>
            <w:fldChar w:fldCharType="separate"/>
          </w:r>
          <w:r w:rsidR="00315515" w:rsidRPr="003839E1">
            <w:rPr>
              <w:rFonts w:ascii="Times New Roman" w:hAnsi="Times New Roman" w:cs="Times New Roman"/>
              <w:noProof/>
              <w:sz w:val="24"/>
              <w:szCs w:val="24"/>
            </w:rPr>
            <w:t xml:space="preserve"> (Irigoyen, 2017)</w:t>
          </w:r>
          <w:r w:rsidR="00315515" w:rsidRPr="003839E1">
            <w:rPr>
              <w:rFonts w:ascii="Times New Roman" w:hAnsi="Times New Roman" w:cs="Times New Roman"/>
              <w:sz w:val="24"/>
              <w:szCs w:val="24"/>
            </w:rPr>
            <w:fldChar w:fldCharType="end"/>
          </w:r>
        </w:sdtContent>
      </w:sdt>
      <w:r w:rsidRPr="003839E1">
        <w:rPr>
          <w:rFonts w:ascii="Times New Roman" w:hAnsi="Times New Roman" w:cs="Times New Roman"/>
          <w:sz w:val="24"/>
          <w:szCs w:val="24"/>
        </w:rPr>
        <w:t>. Increased energy prices for industries and households was what caused the opposition that eventually led to the repealing.</w:t>
      </w:r>
    </w:p>
    <w:p w:rsidR="00886B32"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 xml:space="preserve">Environmentalists had warned that if no stringent were taken to mitigate climate change, then the country’s natural environment would be adversely impacted. The economic impact of a hotter and drier climate on the water supply infrastructure would affect many areas, and the quality of water was also at risk of declining by 2050 as a result of rising salinity levels. Thus, higher temperatures, less rainfall, and extreme weather events necessitated the introduction of the “Carbon Tax” policy. The policy dictated that polluters would pay a certain amount as tax per ton of their carbon release into the atmosphere. Also, selected entities were to surrender an emission unit for a ton of carbon dioxide equivalent to their production. CER's carbon units were </w:t>
      </w:r>
      <w:r w:rsidRPr="003839E1">
        <w:rPr>
          <w:rFonts w:ascii="Times New Roman" w:hAnsi="Times New Roman" w:cs="Times New Roman"/>
          <w:sz w:val="24"/>
          <w:szCs w:val="24"/>
        </w:rPr>
        <w:lastRenderedPageBreak/>
        <w:t>being sold for a fixed price of AUD23 per unit in its early years. Companies or individuals who failed to surrender or not provide enough units received a “unit shortfall charge.” This stringent rule created an incentive for companies to give extra units rather having to incur unnecessary burdens for failing to adhere. Carbon Tax policy would transform the Australian economy and offer support to low and middle-income households</w:t>
      </w:r>
      <w:sdt>
        <w:sdtPr>
          <w:rPr>
            <w:rFonts w:ascii="Times New Roman" w:hAnsi="Times New Roman" w:cs="Times New Roman"/>
            <w:sz w:val="24"/>
            <w:szCs w:val="24"/>
          </w:rPr>
          <w:id w:val="-1252277707"/>
          <w:citation/>
        </w:sdtPr>
        <w:sdtEndPr/>
        <w:sdtContent>
          <w:r w:rsidR="00315515" w:rsidRPr="003839E1">
            <w:rPr>
              <w:rFonts w:ascii="Times New Roman" w:hAnsi="Times New Roman" w:cs="Times New Roman"/>
              <w:sz w:val="24"/>
              <w:szCs w:val="24"/>
            </w:rPr>
            <w:fldChar w:fldCharType="begin"/>
          </w:r>
          <w:r w:rsidR="00315515" w:rsidRPr="003839E1">
            <w:rPr>
              <w:rFonts w:ascii="Times New Roman" w:hAnsi="Times New Roman" w:cs="Times New Roman"/>
              <w:sz w:val="24"/>
              <w:szCs w:val="24"/>
            </w:rPr>
            <w:instrText xml:space="preserve"> CITATION Bur16 \l 1033 </w:instrText>
          </w:r>
          <w:r w:rsidR="00315515" w:rsidRPr="003839E1">
            <w:rPr>
              <w:rFonts w:ascii="Times New Roman" w:hAnsi="Times New Roman" w:cs="Times New Roman"/>
              <w:sz w:val="24"/>
              <w:szCs w:val="24"/>
            </w:rPr>
            <w:fldChar w:fldCharType="separate"/>
          </w:r>
          <w:r w:rsidR="00315515" w:rsidRPr="003839E1">
            <w:rPr>
              <w:rFonts w:ascii="Times New Roman" w:hAnsi="Times New Roman" w:cs="Times New Roman"/>
              <w:noProof/>
              <w:sz w:val="24"/>
              <w:szCs w:val="24"/>
            </w:rPr>
            <w:t xml:space="preserve"> (Burke, 2016)</w:t>
          </w:r>
          <w:r w:rsidR="00315515" w:rsidRPr="003839E1">
            <w:rPr>
              <w:rFonts w:ascii="Times New Roman" w:hAnsi="Times New Roman" w:cs="Times New Roman"/>
              <w:sz w:val="24"/>
              <w:szCs w:val="24"/>
            </w:rPr>
            <w:fldChar w:fldCharType="end"/>
          </w:r>
        </w:sdtContent>
      </w:sdt>
      <w:r w:rsidRPr="003839E1">
        <w:rPr>
          <w:rFonts w:ascii="Times New Roman" w:hAnsi="Times New Roman" w:cs="Times New Roman"/>
          <w:sz w:val="24"/>
          <w:szCs w:val="24"/>
        </w:rPr>
        <w:t>. The policy played its role well, and it’s a shame that it was repealed.</w:t>
      </w:r>
    </w:p>
    <w:p w:rsidR="00886B32"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The Direct Action Plan is another policy that came into being after Carbon Tax was repealed. The policy is based on two clear principles: incentive and simplicity. Through the policy, the government plans that by 2020 it will have reduced emissions by 5% below 2000 levels and 26-28% below 2005 levels by 2030. Based on this plan, the government estimated that it would use a $2.55 billion emissions reduction fund to pay industries for emissions reduction in a bid to achieve the 5% target of emissions reduction by 2020. This policy capitalizes on the flaws of the “Carbon Tax” policy. For instance, instead of having to pay additional tax for extra carbon emitted, the government will seek to fund projects that reduce emissions. This way, no extra cost will be incurred by the manufacturers and the customers as a result of increased prices due to the carbon tax</w:t>
      </w:r>
      <w:sdt>
        <w:sdtPr>
          <w:rPr>
            <w:rFonts w:ascii="Times New Roman" w:hAnsi="Times New Roman" w:cs="Times New Roman"/>
            <w:sz w:val="24"/>
            <w:szCs w:val="24"/>
          </w:rPr>
          <w:id w:val="-2073502797"/>
          <w:citation/>
        </w:sdtPr>
        <w:sdtEndPr/>
        <w:sdtContent>
          <w:r w:rsidR="00315515" w:rsidRPr="003839E1">
            <w:rPr>
              <w:rFonts w:ascii="Times New Roman" w:hAnsi="Times New Roman" w:cs="Times New Roman"/>
              <w:sz w:val="24"/>
              <w:szCs w:val="24"/>
            </w:rPr>
            <w:fldChar w:fldCharType="begin"/>
          </w:r>
          <w:r w:rsidR="00315515" w:rsidRPr="003839E1">
            <w:rPr>
              <w:rFonts w:ascii="Times New Roman" w:hAnsi="Times New Roman" w:cs="Times New Roman"/>
              <w:sz w:val="24"/>
              <w:szCs w:val="24"/>
            </w:rPr>
            <w:instrText xml:space="preserve"> CITATION Cla14 \l 1033 </w:instrText>
          </w:r>
          <w:r w:rsidR="00315515" w:rsidRPr="003839E1">
            <w:rPr>
              <w:rFonts w:ascii="Times New Roman" w:hAnsi="Times New Roman" w:cs="Times New Roman"/>
              <w:sz w:val="24"/>
              <w:szCs w:val="24"/>
            </w:rPr>
            <w:fldChar w:fldCharType="separate"/>
          </w:r>
          <w:r w:rsidR="00315515" w:rsidRPr="003839E1">
            <w:rPr>
              <w:rFonts w:ascii="Times New Roman" w:hAnsi="Times New Roman" w:cs="Times New Roman"/>
              <w:noProof/>
              <w:sz w:val="24"/>
              <w:szCs w:val="24"/>
            </w:rPr>
            <w:t xml:space="preserve"> (Clark &amp; G, 2014)</w:t>
          </w:r>
          <w:r w:rsidR="00315515" w:rsidRPr="003839E1">
            <w:rPr>
              <w:rFonts w:ascii="Times New Roman" w:hAnsi="Times New Roman" w:cs="Times New Roman"/>
              <w:sz w:val="24"/>
              <w:szCs w:val="24"/>
            </w:rPr>
            <w:fldChar w:fldCharType="end"/>
          </w:r>
        </w:sdtContent>
      </w:sdt>
      <w:r w:rsidRPr="003839E1">
        <w:rPr>
          <w:rFonts w:ascii="Times New Roman" w:hAnsi="Times New Roman" w:cs="Times New Roman"/>
          <w:sz w:val="24"/>
          <w:szCs w:val="24"/>
        </w:rPr>
        <w:t>. An independent organization is mandated to oversee the funding process, which involves reverse auctions or grant funding allocation.</w:t>
      </w:r>
    </w:p>
    <w:p w:rsidR="00886B32"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 xml:space="preserve">The policy also identifies the need to reduce emissions created by waste coal mine gas and landfill, composting, encouraging energy efficiency in buildings, recycling, and introducing alternative transport fuels. Through the policy, several coal-fired power stations have received incentives to help reduce emissions. Besides that, there has been the provision of an extra $500 rebate solar hot water system or solar panels until 2020. Originally it had been $1000, but it was halved due to the reduction of technology and its aim of targeting low-income earners. The </w:t>
      </w:r>
      <w:r w:rsidRPr="003839E1">
        <w:rPr>
          <w:rFonts w:ascii="Times New Roman" w:hAnsi="Times New Roman" w:cs="Times New Roman"/>
          <w:sz w:val="24"/>
          <w:szCs w:val="24"/>
        </w:rPr>
        <w:lastRenderedPageBreak/>
        <w:t>policy’s focus is not only on the industries but also on society. Based on its plans, 100 schools and 25 communities are to get grants of $500,000 and $2 million maximum, respectively, to implement mid-scale solar projects. The generosity has even been extended to conducting studies to know how best remote large scale renewable energy projects can be supported by high voltage direct current cables. Planting 2 million trees in public places, supporting 85 million tons of CO2 abatement per year through soil carbon sequestration, studying biofuels, and annual $2 million budget to fund the Greenhouse Friendly Programme for five years shows how the effectiveness of the policy</w:t>
      </w:r>
      <w:sdt>
        <w:sdtPr>
          <w:rPr>
            <w:rFonts w:ascii="Times New Roman" w:hAnsi="Times New Roman" w:cs="Times New Roman"/>
            <w:sz w:val="24"/>
            <w:szCs w:val="24"/>
          </w:rPr>
          <w:id w:val="1137070642"/>
          <w:citation/>
        </w:sdtPr>
        <w:sdtEndPr/>
        <w:sdtContent>
          <w:r w:rsidR="003839E1" w:rsidRPr="003839E1">
            <w:rPr>
              <w:rFonts w:ascii="Times New Roman" w:hAnsi="Times New Roman" w:cs="Times New Roman"/>
              <w:sz w:val="24"/>
              <w:szCs w:val="24"/>
            </w:rPr>
            <w:fldChar w:fldCharType="begin"/>
          </w:r>
          <w:r w:rsidR="003839E1" w:rsidRPr="003839E1">
            <w:rPr>
              <w:rFonts w:ascii="Times New Roman" w:hAnsi="Times New Roman" w:cs="Times New Roman"/>
              <w:sz w:val="24"/>
              <w:szCs w:val="24"/>
            </w:rPr>
            <w:instrText xml:space="preserve"> CITATION Fre16 \l 1033 </w:instrText>
          </w:r>
          <w:r w:rsidR="003839E1" w:rsidRPr="003839E1">
            <w:rPr>
              <w:rFonts w:ascii="Times New Roman" w:hAnsi="Times New Roman" w:cs="Times New Roman"/>
              <w:sz w:val="24"/>
              <w:szCs w:val="24"/>
            </w:rPr>
            <w:fldChar w:fldCharType="separate"/>
          </w:r>
          <w:r w:rsidR="003839E1" w:rsidRPr="003839E1">
            <w:rPr>
              <w:rFonts w:ascii="Times New Roman" w:hAnsi="Times New Roman" w:cs="Times New Roman"/>
              <w:noProof/>
              <w:sz w:val="24"/>
              <w:szCs w:val="24"/>
            </w:rPr>
            <w:t xml:space="preserve"> (Freebairn, 2016)</w:t>
          </w:r>
          <w:r w:rsidR="003839E1" w:rsidRPr="003839E1">
            <w:rPr>
              <w:rFonts w:ascii="Times New Roman" w:hAnsi="Times New Roman" w:cs="Times New Roman"/>
              <w:sz w:val="24"/>
              <w:szCs w:val="24"/>
            </w:rPr>
            <w:fldChar w:fldCharType="end"/>
          </w:r>
        </w:sdtContent>
      </w:sdt>
      <w:r w:rsidRPr="003839E1">
        <w:rPr>
          <w:rFonts w:ascii="Times New Roman" w:hAnsi="Times New Roman" w:cs="Times New Roman"/>
          <w:sz w:val="24"/>
          <w:szCs w:val="24"/>
        </w:rPr>
        <w:t>. The policy's effectiveness is largely based on the fact that it involves the public in fighting emissions by providing resources that are friendly to the environment.</w:t>
      </w:r>
    </w:p>
    <w:p w:rsidR="00886B32" w:rsidRPr="003839E1" w:rsidRDefault="003839E1" w:rsidP="001610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Arguably, t</w:t>
      </w:r>
      <w:r w:rsidR="00886B32" w:rsidRPr="003839E1">
        <w:rPr>
          <w:rFonts w:ascii="Times New Roman" w:hAnsi="Times New Roman" w:cs="Times New Roman"/>
          <w:sz w:val="24"/>
          <w:szCs w:val="24"/>
        </w:rPr>
        <w:t>he transport sector is among the leading contributors of carbon into the atmosphere, and thus, when the Carbon Tax came into being, the sector was impacted. Based on the existing taxation arrangements, excise is imposed on fuel. For the small commercial and household vehicles, the consumer bears the full amount of the excise. The excise on the usage of commercial fuel is lessened through the fuel tax credit system. In addition to the excise charged on fuel, Goods and Services Tax is also imposed. As such, it is clear that the carbon tax policy greatly be a disadvantage to the transport sector. The tax alleviation for the heavy vehicles for a certain period did little to save the sector from the carbon tax policy's ruthlessness. According to many of the freighters, the two year grace period that had been given to them was very little for them to adjust their activities and behaviors in a bid to reduce their carbon emissions further. The Carbon Tax would see drivers partying with $150-$200 a week, and this will directly be off their bottom line and directly off their income after tax. As such, to cover for this setback, a driver may opt to accept the decrease or work longer hours and take more dangerous trips.</w:t>
      </w:r>
    </w:p>
    <w:p w:rsidR="00886B32"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lastRenderedPageBreak/>
        <w:t>In as much as there have been studies that show that the use of fuel in motor vehicles and other modes of transport can be replaced, their reliability and ready availability has not yet been established. As such, fuel remains the most reliable source of energy to many motor vehicles, and use in these machines will always result in the emission of CO2. Thus, inasmuch as the Carbon Tax policy might have been conceptualized for good reason of safeguarding Australia’s environment, it has pressed many to the wall. As a result of this fact, among many others, it was repealed, giving way to Direct Action Plan.</w:t>
      </w:r>
    </w:p>
    <w:p w:rsidR="00886B32"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With regard to the Direct Action Plan policy, several opportunities have been created to help many in the transport sector. The Direct Action policy seeks to relieve the burden to the common people while at the same time implementing an initiative that is aimed at reducing carbon emission. For instance, the policy seeks to empower the transport sector by providing incentives for the emission of less carbon. As such, this encourages motorists to use vehicles that produce less carbon into the atmosphere, and this does go a long way in reducing the impact that CO2 has on the environment. The vehicle owners also now have the opportunity to use less money to maintain their vehicles due to the manufacture of effective and efficient machines and do not easily pollute the environment. Since the policy caters for funding, it provides a more significant opportunity for innovation. The world is technologically advancing, and thus, there is an opportunity to create energy-efficient motor vehicles.</w:t>
      </w:r>
    </w:p>
    <w:p w:rsidR="00886B32"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 xml:space="preserve">The Direct Action Plan policy has presented the transport sector with several opportunities that are still yet to be realized. Carbon is bad for the environment, but that does not mean that everything in the transportation sector should be halted until a more suitable environmental solution is found through innovation. Life has to continue, but with certain moderation when it comes to emission CO2 into the atmosphere. Reducing emissions and </w:t>
      </w:r>
      <w:r w:rsidRPr="003839E1">
        <w:rPr>
          <w:rFonts w:ascii="Times New Roman" w:hAnsi="Times New Roman" w:cs="Times New Roman"/>
          <w:sz w:val="24"/>
          <w:szCs w:val="24"/>
        </w:rPr>
        <w:lastRenderedPageBreak/>
        <w:t xml:space="preserve">adapting to climate change are the two most important things in the transportation sector when it comes to the conservation of the environment. Having a full grasp of climate change has affected your region, and the risk that it poses for transport activities is very vital. Physical risks to transport resources such as vehicles and vessels, risks to infrastructure, business, and regulatory risks, market risks need to be always checked first in assessing climate variability. Once the climate variability has been ascertained, one now needs to adapt himself to the climatic changes. The strategy implies that one’s vehicle can cope with heavier downpours while on the road. The driver needs to be prepared to drive in variable weather conditions. Climate-proofing of the transport infrastructure is paramount, especially during a heavy downpour. Many of the transportation infrastructures are always vulnerable to extreme weather, and thus, the government must do climate proofing to increase resilience. The Integrated National Transport Policy 2010 does recommend that there be an appropriate use of weather and climate information to ensure that infrastructural developments account for extreme weather events and rising sea levels.  </w:t>
      </w:r>
    </w:p>
    <w:p w:rsidR="00D43D47" w:rsidRPr="003839E1" w:rsidRDefault="00886B32" w:rsidP="001610C6">
      <w:pPr>
        <w:spacing w:after="0" w:line="480" w:lineRule="auto"/>
        <w:ind w:firstLine="720"/>
        <w:rPr>
          <w:rFonts w:ascii="Times New Roman" w:hAnsi="Times New Roman" w:cs="Times New Roman"/>
          <w:sz w:val="24"/>
          <w:szCs w:val="24"/>
        </w:rPr>
      </w:pPr>
      <w:r w:rsidRPr="003839E1">
        <w:rPr>
          <w:rFonts w:ascii="Times New Roman" w:hAnsi="Times New Roman" w:cs="Times New Roman"/>
          <w:sz w:val="24"/>
          <w:szCs w:val="24"/>
        </w:rPr>
        <w:t xml:space="preserve">The transport sector is partly to be blamed for the climatic changes in Australia. Road and destruction due to heavy down, impassable roads, and sea levels rise are all due to greenhouse gases into the atmosphere. Thus, even as strategies are being made regarding how the transport sector can maneuver its way out of climate change, reducing carbon emission by these vehicles should also be discussed. Carbon emissions from motor vehicles can immensely be reduced if people opt for more fuel-efficient vehicles. Many technologies are available to improve fuel efficiency in motor vehicles, such as introducing modern logistics brokerage practices such as the elimination of empty backhaul. People should also avoid unnecessary movements using vehicles. Technological advancement is quickly taking shape in the business world where people </w:t>
      </w:r>
      <w:r w:rsidRPr="003839E1">
        <w:rPr>
          <w:rFonts w:ascii="Times New Roman" w:hAnsi="Times New Roman" w:cs="Times New Roman"/>
          <w:sz w:val="24"/>
          <w:szCs w:val="24"/>
        </w:rPr>
        <w:lastRenderedPageBreak/>
        <w:t>need not be in the office to conduct business. This move will help reduce the number of vehicles on the roads and thus reduce carbon emission.</w:t>
      </w:r>
      <w:r w:rsidR="00BA6D48" w:rsidRPr="003839E1">
        <w:rPr>
          <w:rFonts w:ascii="Times New Roman" w:hAnsi="Times New Roman" w:cs="Times New Roman"/>
          <w:sz w:val="24"/>
          <w:szCs w:val="24"/>
        </w:rPr>
        <w:t xml:space="preserve"> </w:t>
      </w:r>
      <w:bookmarkStart w:id="0" w:name="_GoBack"/>
      <w:bookmarkEnd w:id="0"/>
    </w:p>
    <w:sdt>
      <w:sdtPr>
        <w:rPr>
          <w:rFonts w:ascii="Times New Roman" w:eastAsiaTheme="minorHAnsi" w:hAnsi="Times New Roman" w:cs="Times New Roman"/>
          <w:color w:val="auto"/>
          <w:sz w:val="24"/>
          <w:szCs w:val="24"/>
        </w:rPr>
        <w:id w:val="992841709"/>
        <w:docPartObj>
          <w:docPartGallery w:val="Bibliographies"/>
          <w:docPartUnique/>
        </w:docPartObj>
      </w:sdtPr>
      <w:sdtEndPr/>
      <w:sdtContent>
        <w:p w:rsidR="001610C6" w:rsidRDefault="001610C6" w:rsidP="001610C6">
          <w:pPr>
            <w:pStyle w:val="Heading1"/>
            <w:spacing w:before="0" w:line="480" w:lineRule="auto"/>
            <w:jc w:val="center"/>
            <w:rPr>
              <w:rFonts w:ascii="Times New Roman" w:eastAsiaTheme="minorHAnsi" w:hAnsi="Times New Roman" w:cs="Times New Roman"/>
              <w:color w:val="auto"/>
              <w:sz w:val="24"/>
              <w:szCs w:val="24"/>
            </w:rPr>
          </w:pPr>
        </w:p>
        <w:p w:rsidR="001610C6" w:rsidRDefault="001610C6">
          <w:pPr>
            <w:rPr>
              <w:rFonts w:ascii="Times New Roman" w:hAnsi="Times New Roman" w:cs="Times New Roman"/>
              <w:sz w:val="24"/>
              <w:szCs w:val="24"/>
            </w:rPr>
          </w:pPr>
          <w:r>
            <w:rPr>
              <w:rFonts w:ascii="Times New Roman" w:hAnsi="Times New Roman" w:cs="Times New Roman"/>
              <w:sz w:val="24"/>
              <w:szCs w:val="24"/>
            </w:rPr>
            <w:br w:type="page"/>
          </w:r>
        </w:p>
        <w:p w:rsidR="003839E1" w:rsidRPr="001610C6" w:rsidRDefault="003839E1" w:rsidP="001610C6">
          <w:pPr>
            <w:pStyle w:val="Heading1"/>
            <w:spacing w:before="0" w:line="480" w:lineRule="auto"/>
            <w:jc w:val="center"/>
            <w:rPr>
              <w:rFonts w:ascii="Times New Roman" w:hAnsi="Times New Roman" w:cs="Times New Roman"/>
              <w:color w:val="auto"/>
              <w:sz w:val="24"/>
              <w:szCs w:val="24"/>
            </w:rPr>
          </w:pPr>
          <w:r w:rsidRPr="001610C6">
            <w:rPr>
              <w:rFonts w:ascii="Times New Roman" w:hAnsi="Times New Roman" w:cs="Times New Roman"/>
              <w:color w:val="auto"/>
              <w:sz w:val="24"/>
              <w:szCs w:val="24"/>
            </w:rPr>
            <w:lastRenderedPageBreak/>
            <w:t>References</w:t>
          </w:r>
        </w:p>
        <w:sdt>
          <w:sdtPr>
            <w:rPr>
              <w:rFonts w:ascii="Times New Roman" w:hAnsi="Times New Roman" w:cs="Times New Roman"/>
              <w:sz w:val="24"/>
              <w:szCs w:val="24"/>
            </w:rPr>
            <w:id w:val="-573587230"/>
            <w:bibliography/>
          </w:sdtPr>
          <w:sdtEndPr/>
          <w:sdtContent>
            <w:p w:rsidR="003839E1" w:rsidRPr="003839E1" w:rsidRDefault="003839E1" w:rsidP="003839E1">
              <w:pPr>
                <w:pStyle w:val="Bibliography"/>
                <w:spacing w:after="0" w:line="480" w:lineRule="auto"/>
                <w:ind w:left="720" w:hanging="720"/>
                <w:jc w:val="both"/>
                <w:rPr>
                  <w:rFonts w:ascii="Times New Roman" w:hAnsi="Times New Roman" w:cs="Times New Roman"/>
                  <w:noProof/>
                  <w:sz w:val="24"/>
                  <w:szCs w:val="24"/>
                </w:rPr>
              </w:pPr>
              <w:r w:rsidRPr="003839E1">
                <w:rPr>
                  <w:rFonts w:ascii="Times New Roman" w:hAnsi="Times New Roman" w:cs="Times New Roman"/>
                  <w:sz w:val="24"/>
                  <w:szCs w:val="24"/>
                </w:rPr>
                <w:fldChar w:fldCharType="begin"/>
              </w:r>
              <w:r w:rsidRPr="003839E1">
                <w:rPr>
                  <w:rFonts w:ascii="Times New Roman" w:hAnsi="Times New Roman" w:cs="Times New Roman"/>
                  <w:sz w:val="24"/>
                  <w:szCs w:val="24"/>
                </w:rPr>
                <w:instrText xml:space="preserve"> BIBLIOGRAPHY </w:instrText>
              </w:r>
              <w:r w:rsidRPr="003839E1">
                <w:rPr>
                  <w:rFonts w:ascii="Times New Roman" w:hAnsi="Times New Roman" w:cs="Times New Roman"/>
                  <w:sz w:val="24"/>
                  <w:szCs w:val="24"/>
                </w:rPr>
                <w:fldChar w:fldCharType="separate"/>
              </w:r>
              <w:r w:rsidRPr="003839E1">
                <w:rPr>
                  <w:rFonts w:ascii="Times New Roman" w:hAnsi="Times New Roman" w:cs="Times New Roman"/>
                  <w:noProof/>
                  <w:sz w:val="24"/>
                  <w:szCs w:val="24"/>
                </w:rPr>
                <w:t xml:space="preserve">Burke, P. J. (2016). Undermined by Adverse Selection: Australia's Direct Action Abatement. </w:t>
              </w:r>
              <w:r w:rsidRPr="003839E1">
                <w:rPr>
                  <w:rFonts w:ascii="Times New Roman" w:hAnsi="Times New Roman" w:cs="Times New Roman"/>
                  <w:i/>
                  <w:iCs/>
                  <w:noProof/>
                  <w:sz w:val="24"/>
                  <w:szCs w:val="24"/>
                </w:rPr>
                <w:t>Economic Papers, 35</w:t>
              </w:r>
              <w:r w:rsidRPr="003839E1">
                <w:rPr>
                  <w:rFonts w:ascii="Times New Roman" w:hAnsi="Times New Roman" w:cs="Times New Roman"/>
                  <w:noProof/>
                  <w:sz w:val="24"/>
                  <w:szCs w:val="24"/>
                </w:rPr>
                <w:t>(3), 216-229.</w:t>
              </w:r>
            </w:p>
            <w:p w:rsidR="003839E1" w:rsidRPr="003839E1" w:rsidRDefault="003839E1" w:rsidP="003839E1">
              <w:pPr>
                <w:pStyle w:val="Bibliography"/>
                <w:spacing w:after="0" w:line="480" w:lineRule="auto"/>
                <w:ind w:left="720" w:hanging="720"/>
                <w:jc w:val="both"/>
                <w:rPr>
                  <w:rFonts w:ascii="Times New Roman" w:hAnsi="Times New Roman" w:cs="Times New Roman"/>
                  <w:noProof/>
                  <w:sz w:val="24"/>
                  <w:szCs w:val="24"/>
                </w:rPr>
              </w:pPr>
              <w:r w:rsidRPr="003839E1">
                <w:rPr>
                  <w:rFonts w:ascii="Times New Roman" w:hAnsi="Times New Roman" w:cs="Times New Roman"/>
                  <w:noProof/>
                  <w:sz w:val="24"/>
                  <w:szCs w:val="24"/>
                </w:rPr>
                <w:t xml:space="preserve">Clark, H. F., &amp; G, W. R. (2014). How Much Abatement will Australia's Emissions Reduction Fund Buy? </w:t>
              </w:r>
              <w:r w:rsidRPr="003839E1">
                <w:rPr>
                  <w:rFonts w:ascii="Times New Roman" w:hAnsi="Times New Roman" w:cs="Times New Roman"/>
                  <w:i/>
                  <w:iCs/>
                  <w:noProof/>
                  <w:sz w:val="24"/>
                  <w:szCs w:val="24"/>
                </w:rPr>
                <w:t>Economic Papers, 33</w:t>
              </w:r>
              <w:r w:rsidRPr="003839E1">
                <w:rPr>
                  <w:rFonts w:ascii="Times New Roman" w:hAnsi="Times New Roman" w:cs="Times New Roman"/>
                  <w:noProof/>
                  <w:sz w:val="24"/>
                  <w:szCs w:val="24"/>
                </w:rPr>
                <w:t>(4), 315-326.</w:t>
              </w:r>
            </w:p>
            <w:p w:rsidR="003839E1" w:rsidRPr="003839E1" w:rsidRDefault="003839E1" w:rsidP="003839E1">
              <w:pPr>
                <w:pStyle w:val="Bibliography"/>
                <w:spacing w:after="0" w:line="480" w:lineRule="auto"/>
                <w:ind w:left="720" w:hanging="720"/>
                <w:jc w:val="both"/>
                <w:rPr>
                  <w:rFonts w:ascii="Times New Roman" w:hAnsi="Times New Roman" w:cs="Times New Roman"/>
                  <w:noProof/>
                  <w:sz w:val="24"/>
                  <w:szCs w:val="24"/>
                </w:rPr>
              </w:pPr>
              <w:r w:rsidRPr="003839E1">
                <w:rPr>
                  <w:rFonts w:ascii="Times New Roman" w:hAnsi="Times New Roman" w:cs="Times New Roman"/>
                  <w:noProof/>
                  <w:sz w:val="24"/>
                  <w:szCs w:val="24"/>
                </w:rPr>
                <w:t xml:space="preserve">Cliamte Council. (2016). Waiting for the Green Light: Transport Solutions to Climate Change. </w:t>
              </w:r>
              <w:r w:rsidRPr="003839E1">
                <w:rPr>
                  <w:rFonts w:ascii="Times New Roman" w:hAnsi="Times New Roman" w:cs="Times New Roman"/>
                  <w:i/>
                  <w:iCs/>
                  <w:noProof/>
                  <w:sz w:val="24"/>
                  <w:szCs w:val="24"/>
                </w:rPr>
                <w:t>Climate Council</w:t>
              </w:r>
              <w:r w:rsidRPr="003839E1">
                <w:rPr>
                  <w:rFonts w:ascii="Times New Roman" w:hAnsi="Times New Roman" w:cs="Times New Roman"/>
                  <w:noProof/>
                  <w:sz w:val="24"/>
                  <w:szCs w:val="24"/>
                </w:rPr>
                <w:t>.</w:t>
              </w:r>
            </w:p>
            <w:p w:rsidR="003839E1" w:rsidRPr="003839E1" w:rsidRDefault="003839E1" w:rsidP="003839E1">
              <w:pPr>
                <w:pStyle w:val="Bibliography"/>
                <w:spacing w:after="0" w:line="480" w:lineRule="auto"/>
                <w:ind w:left="720" w:hanging="720"/>
                <w:jc w:val="both"/>
                <w:rPr>
                  <w:rFonts w:ascii="Times New Roman" w:hAnsi="Times New Roman" w:cs="Times New Roman"/>
                  <w:noProof/>
                  <w:sz w:val="24"/>
                  <w:szCs w:val="24"/>
                </w:rPr>
              </w:pPr>
              <w:r w:rsidRPr="003839E1">
                <w:rPr>
                  <w:rFonts w:ascii="Times New Roman" w:hAnsi="Times New Roman" w:cs="Times New Roman"/>
                  <w:noProof/>
                  <w:sz w:val="24"/>
                  <w:szCs w:val="24"/>
                </w:rPr>
                <w:t xml:space="preserve">Freebairn, J. (2016). A Comparison of Policy Instruments to Reduce Greenhouse Gas Emissions. </w:t>
              </w:r>
              <w:r w:rsidRPr="003839E1">
                <w:rPr>
                  <w:rFonts w:ascii="Times New Roman" w:hAnsi="Times New Roman" w:cs="Times New Roman"/>
                  <w:i/>
                  <w:iCs/>
                  <w:noProof/>
                  <w:sz w:val="24"/>
                  <w:szCs w:val="24"/>
                </w:rPr>
                <w:t>Economic Papers, 35</w:t>
              </w:r>
              <w:r w:rsidRPr="003839E1">
                <w:rPr>
                  <w:rFonts w:ascii="Times New Roman" w:hAnsi="Times New Roman" w:cs="Times New Roman"/>
                  <w:noProof/>
                  <w:sz w:val="24"/>
                  <w:szCs w:val="24"/>
                </w:rPr>
                <w:t>(3), 204-215.</w:t>
              </w:r>
            </w:p>
            <w:p w:rsidR="003839E1" w:rsidRPr="003839E1" w:rsidRDefault="003839E1" w:rsidP="003839E1">
              <w:pPr>
                <w:pStyle w:val="Bibliography"/>
                <w:spacing w:after="0" w:line="480" w:lineRule="auto"/>
                <w:ind w:left="720" w:hanging="720"/>
                <w:jc w:val="both"/>
                <w:rPr>
                  <w:rFonts w:ascii="Times New Roman" w:hAnsi="Times New Roman" w:cs="Times New Roman"/>
                  <w:noProof/>
                  <w:sz w:val="24"/>
                  <w:szCs w:val="24"/>
                </w:rPr>
              </w:pPr>
              <w:r w:rsidRPr="003839E1">
                <w:rPr>
                  <w:rFonts w:ascii="Times New Roman" w:hAnsi="Times New Roman" w:cs="Times New Roman"/>
                  <w:noProof/>
                  <w:sz w:val="24"/>
                  <w:szCs w:val="24"/>
                </w:rPr>
                <w:t xml:space="preserve">Irigoyen, C. (2017). The Carbon Tax in Australia . </w:t>
              </w:r>
              <w:r w:rsidRPr="003839E1">
                <w:rPr>
                  <w:rFonts w:ascii="Times New Roman" w:hAnsi="Times New Roman" w:cs="Times New Roman"/>
                  <w:i/>
                  <w:iCs/>
                  <w:noProof/>
                  <w:sz w:val="24"/>
                  <w:szCs w:val="24"/>
                </w:rPr>
                <w:t>Center for Public Impact</w:t>
              </w:r>
              <w:r w:rsidRPr="003839E1">
                <w:rPr>
                  <w:rFonts w:ascii="Times New Roman" w:hAnsi="Times New Roman" w:cs="Times New Roman"/>
                  <w:noProof/>
                  <w:sz w:val="24"/>
                  <w:szCs w:val="24"/>
                </w:rPr>
                <w:t>.</w:t>
              </w:r>
            </w:p>
            <w:p w:rsidR="003839E1" w:rsidRPr="003839E1" w:rsidRDefault="003839E1" w:rsidP="003839E1">
              <w:pPr>
                <w:pStyle w:val="Bibliography"/>
                <w:spacing w:after="0" w:line="480" w:lineRule="auto"/>
                <w:ind w:left="720" w:hanging="720"/>
                <w:jc w:val="both"/>
                <w:rPr>
                  <w:rFonts w:ascii="Times New Roman" w:hAnsi="Times New Roman" w:cs="Times New Roman"/>
                  <w:noProof/>
                  <w:sz w:val="24"/>
                  <w:szCs w:val="24"/>
                </w:rPr>
              </w:pPr>
              <w:r w:rsidRPr="003839E1">
                <w:rPr>
                  <w:rFonts w:ascii="Times New Roman" w:hAnsi="Times New Roman" w:cs="Times New Roman"/>
                  <w:noProof/>
                  <w:sz w:val="24"/>
                  <w:szCs w:val="24"/>
                </w:rPr>
                <w:t xml:space="preserve">Sydney University. (2019). How Climate Change Impacts Infrastructure: Experts Explain. </w:t>
              </w:r>
              <w:r w:rsidRPr="003839E1">
                <w:rPr>
                  <w:rFonts w:ascii="Times New Roman" w:hAnsi="Times New Roman" w:cs="Times New Roman"/>
                  <w:i/>
                  <w:iCs/>
                  <w:noProof/>
                  <w:sz w:val="24"/>
                  <w:szCs w:val="24"/>
                </w:rPr>
                <w:t>University of Sydney</w:t>
              </w:r>
              <w:r w:rsidRPr="003839E1">
                <w:rPr>
                  <w:rFonts w:ascii="Times New Roman" w:hAnsi="Times New Roman" w:cs="Times New Roman"/>
                  <w:noProof/>
                  <w:sz w:val="24"/>
                  <w:szCs w:val="24"/>
                </w:rPr>
                <w:t>.</w:t>
              </w:r>
            </w:p>
            <w:p w:rsidR="003839E1" w:rsidRPr="003839E1" w:rsidRDefault="003839E1" w:rsidP="003839E1">
              <w:pPr>
                <w:spacing w:after="0" w:line="480" w:lineRule="auto"/>
                <w:jc w:val="both"/>
                <w:rPr>
                  <w:rFonts w:ascii="Times New Roman" w:hAnsi="Times New Roman" w:cs="Times New Roman"/>
                  <w:sz w:val="24"/>
                  <w:szCs w:val="24"/>
                </w:rPr>
              </w:pPr>
              <w:r w:rsidRPr="003839E1">
                <w:rPr>
                  <w:rFonts w:ascii="Times New Roman" w:hAnsi="Times New Roman" w:cs="Times New Roman"/>
                  <w:b/>
                  <w:bCs/>
                  <w:noProof/>
                  <w:sz w:val="24"/>
                  <w:szCs w:val="24"/>
                </w:rPr>
                <w:fldChar w:fldCharType="end"/>
              </w:r>
            </w:p>
          </w:sdtContent>
        </w:sdt>
      </w:sdtContent>
    </w:sdt>
    <w:p w:rsidR="003839E1" w:rsidRPr="003839E1" w:rsidRDefault="003839E1" w:rsidP="003839E1">
      <w:pPr>
        <w:spacing w:after="0" w:line="480" w:lineRule="auto"/>
        <w:jc w:val="both"/>
        <w:rPr>
          <w:rFonts w:ascii="Times New Roman" w:hAnsi="Times New Roman" w:cs="Times New Roman"/>
          <w:sz w:val="24"/>
          <w:szCs w:val="24"/>
        </w:rPr>
      </w:pPr>
    </w:p>
    <w:sectPr w:rsidR="003839E1" w:rsidRPr="003839E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ADE" w:rsidRDefault="00297ADE" w:rsidP="00BA6D48">
      <w:pPr>
        <w:spacing w:after="0" w:line="240" w:lineRule="auto"/>
      </w:pPr>
      <w:r>
        <w:separator/>
      </w:r>
    </w:p>
  </w:endnote>
  <w:endnote w:type="continuationSeparator" w:id="0">
    <w:p w:rsidR="00297ADE" w:rsidRDefault="00297ADE" w:rsidP="00BA6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ADE" w:rsidRDefault="00297ADE" w:rsidP="00BA6D48">
      <w:pPr>
        <w:spacing w:after="0" w:line="240" w:lineRule="auto"/>
      </w:pPr>
      <w:r>
        <w:separator/>
      </w:r>
    </w:p>
  </w:footnote>
  <w:footnote w:type="continuationSeparator" w:id="0">
    <w:p w:rsidR="00297ADE" w:rsidRDefault="00297ADE" w:rsidP="00BA6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0673718"/>
      <w:docPartObj>
        <w:docPartGallery w:val="Page Numbers (Top of Page)"/>
        <w:docPartUnique/>
      </w:docPartObj>
    </w:sdtPr>
    <w:sdtEndPr>
      <w:rPr>
        <w:noProof/>
      </w:rPr>
    </w:sdtEndPr>
    <w:sdtContent>
      <w:p w:rsidR="00BA6D48" w:rsidRDefault="00BA6D48">
        <w:pPr>
          <w:pStyle w:val="Header"/>
          <w:jc w:val="right"/>
        </w:pPr>
        <w:r>
          <w:fldChar w:fldCharType="begin"/>
        </w:r>
        <w:r>
          <w:instrText xml:space="preserve"> PAGE   \* MERGEFORMAT </w:instrText>
        </w:r>
        <w:r>
          <w:fldChar w:fldCharType="separate"/>
        </w:r>
        <w:r w:rsidR="001610C6">
          <w:rPr>
            <w:noProof/>
          </w:rPr>
          <w:t>7</w:t>
        </w:r>
        <w:r>
          <w:rPr>
            <w:noProof/>
          </w:rPr>
          <w:fldChar w:fldCharType="end"/>
        </w:r>
      </w:p>
    </w:sdtContent>
  </w:sdt>
  <w:p w:rsidR="00BA6D48" w:rsidRDefault="00BA6D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737"/>
    <w:rsid w:val="000004D4"/>
    <w:rsid w:val="000A53BD"/>
    <w:rsid w:val="0012681E"/>
    <w:rsid w:val="001610C6"/>
    <w:rsid w:val="00267BB4"/>
    <w:rsid w:val="002768A9"/>
    <w:rsid w:val="00297ADE"/>
    <w:rsid w:val="002A5FE0"/>
    <w:rsid w:val="002D2919"/>
    <w:rsid w:val="00315515"/>
    <w:rsid w:val="003839E1"/>
    <w:rsid w:val="003863D5"/>
    <w:rsid w:val="00391E89"/>
    <w:rsid w:val="0042726F"/>
    <w:rsid w:val="004872B1"/>
    <w:rsid w:val="00491342"/>
    <w:rsid w:val="004B0D5A"/>
    <w:rsid w:val="0055062C"/>
    <w:rsid w:val="00554C83"/>
    <w:rsid w:val="00590F7F"/>
    <w:rsid w:val="00641137"/>
    <w:rsid w:val="0065586C"/>
    <w:rsid w:val="006C5077"/>
    <w:rsid w:val="007504EC"/>
    <w:rsid w:val="007D1099"/>
    <w:rsid w:val="007D2C3F"/>
    <w:rsid w:val="00804625"/>
    <w:rsid w:val="00886B32"/>
    <w:rsid w:val="008E5BE1"/>
    <w:rsid w:val="00961820"/>
    <w:rsid w:val="00977F5D"/>
    <w:rsid w:val="00A95A62"/>
    <w:rsid w:val="00AF2252"/>
    <w:rsid w:val="00BA6D48"/>
    <w:rsid w:val="00C271EA"/>
    <w:rsid w:val="00C42499"/>
    <w:rsid w:val="00C95C98"/>
    <w:rsid w:val="00D43D47"/>
    <w:rsid w:val="00D45D41"/>
    <w:rsid w:val="00DE6F0A"/>
    <w:rsid w:val="00DF42ED"/>
    <w:rsid w:val="00E10FDD"/>
    <w:rsid w:val="00EA4737"/>
    <w:rsid w:val="00F262EB"/>
    <w:rsid w:val="00FB5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844A"/>
  <w15:chartTrackingRefBased/>
  <w15:docId w15:val="{4C567C1E-8A42-4BBA-A550-8BBDB44BB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39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D48"/>
  </w:style>
  <w:style w:type="paragraph" w:styleId="Footer">
    <w:name w:val="footer"/>
    <w:basedOn w:val="Normal"/>
    <w:link w:val="FooterChar"/>
    <w:uiPriority w:val="99"/>
    <w:unhideWhenUsed/>
    <w:rsid w:val="00BA6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D48"/>
  </w:style>
  <w:style w:type="character" w:customStyle="1" w:styleId="Heading1Char">
    <w:name w:val="Heading 1 Char"/>
    <w:basedOn w:val="DefaultParagraphFont"/>
    <w:link w:val="Heading1"/>
    <w:uiPriority w:val="9"/>
    <w:rsid w:val="003839E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83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490525">
      <w:bodyDiv w:val="1"/>
      <w:marLeft w:val="0"/>
      <w:marRight w:val="0"/>
      <w:marTop w:val="0"/>
      <w:marBottom w:val="0"/>
      <w:divBdr>
        <w:top w:val="none" w:sz="0" w:space="0" w:color="auto"/>
        <w:left w:val="none" w:sz="0" w:space="0" w:color="auto"/>
        <w:bottom w:val="none" w:sz="0" w:space="0" w:color="auto"/>
        <w:right w:val="none" w:sz="0" w:space="0" w:color="auto"/>
      </w:divBdr>
    </w:div>
    <w:div w:id="1136680106">
      <w:bodyDiv w:val="1"/>
      <w:marLeft w:val="0"/>
      <w:marRight w:val="0"/>
      <w:marTop w:val="0"/>
      <w:marBottom w:val="0"/>
      <w:divBdr>
        <w:top w:val="none" w:sz="0" w:space="0" w:color="auto"/>
        <w:left w:val="none" w:sz="0" w:space="0" w:color="auto"/>
        <w:bottom w:val="none" w:sz="0" w:space="0" w:color="auto"/>
        <w:right w:val="none" w:sz="0" w:space="0" w:color="auto"/>
      </w:divBdr>
    </w:div>
    <w:div w:id="1411196691">
      <w:bodyDiv w:val="1"/>
      <w:marLeft w:val="0"/>
      <w:marRight w:val="0"/>
      <w:marTop w:val="0"/>
      <w:marBottom w:val="0"/>
      <w:divBdr>
        <w:top w:val="none" w:sz="0" w:space="0" w:color="auto"/>
        <w:left w:val="none" w:sz="0" w:space="0" w:color="auto"/>
        <w:bottom w:val="none" w:sz="0" w:space="0" w:color="auto"/>
        <w:right w:val="none" w:sz="0" w:space="0" w:color="auto"/>
      </w:divBdr>
    </w:div>
    <w:div w:id="1413044694">
      <w:bodyDiv w:val="1"/>
      <w:marLeft w:val="0"/>
      <w:marRight w:val="0"/>
      <w:marTop w:val="0"/>
      <w:marBottom w:val="0"/>
      <w:divBdr>
        <w:top w:val="none" w:sz="0" w:space="0" w:color="auto"/>
        <w:left w:val="none" w:sz="0" w:space="0" w:color="auto"/>
        <w:bottom w:val="none" w:sz="0" w:space="0" w:color="auto"/>
        <w:right w:val="none" w:sz="0" w:space="0" w:color="auto"/>
      </w:divBdr>
    </w:div>
    <w:div w:id="1454325668">
      <w:bodyDiv w:val="1"/>
      <w:marLeft w:val="0"/>
      <w:marRight w:val="0"/>
      <w:marTop w:val="0"/>
      <w:marBottom w:val="0"/>
      <w:divBdr>
        <w:top w:val="none" w:sz="0" w:space="0" w:color="auto"/>
        <w:left w:val="none" w:sz="0" w:space="0" w:color="auto"/>
        <w:bottom w:val="none" w:sz="0" w:space="0" w:color="auto"/>
        <w:right w:val="none" w:sz="0" w:space="0" w:color="auto"/>
      </w:divBdr>
    </w:div>
    <w:div w:id="1680962010">
      <w:bodyDiv w:val="1"/>
      <w:marLeft w:val="0"/>
      <w:marRight w:val="0"/>
      <w:marTop w:val="0"/>
      <w:marBottom w:val="0"/>
      <w:divBdr>
        <w:top w:val="none" w:sz="0" w:space="0" w:color="auto"/>
        <w:left w:val="none" w:sz="0" w:space="0" w:color="auto"/>
        <w:bottom w:val="none" w:sz="0" w:space="0" w:color="auto"/>
        <w:right w:val="none" w:sz="0" w:space="0" w:color="auto"/>
      </w:divBdr>
    </w:div>
    <w:div w:id="175986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Syd19</b:Tag>
    <b:SourceType>JournalArticle</b:SourceType>
    <b:Guid>{AD31E912-3DC9-4CE1-92CA-551B7A9E31E0}</b:Guid>
    <b:Title>How Climate Change Impacts Infrastructure: Experts Explain</b:Title>
    <b:Year>2019</b:Year>
    <b:Author>
      <b:Author>
        <b:Corporate>Sydney University</b:Corporate>
      </b:Author>
    </b:Author>
    <b:JournalName>University of Sydney</b:JournalName>
    <b:RefOrder>6</b:RefOrder>
  </b:Source>
  <b:Source>
    <b:Tag>Cla14</b:Tag>
    <b:SourceType>JournalArticle</b:SourceType>
    <b:Guid>{CB740CC8-8F0A-4A5D-9553-4770F8C7AFA7}</b:Guid>
    <b:Title>How Much Abatement will Australia's Emissions Reduction Fund Buy?</b:Title>
    <b:Year>2014</b:Year>
    <b:Pages>315-326</b:Pages>
    <b:Author>
      <b:Author>
        <b:NameList>
          <b:Person>
            <b:Last>Clark</b:Last>
            <b:First>H</b:First>
            <b:Middle>Fraser</b:Middle>
          </b:Person>
          <b:Person>
            <b:Last>G</b:Last>
            <b:First>Waschik</b:First>
            <b:Middle>R</b:Middle>
          </b:Person>
        </b:NameList>
      </b:Author>
    </b:Author>
    <b:JournalName>Economic Papers</b:JournalName>
    <b:Volume>33</b:Volume>
    <b:Issue>4</b:Issue>
    <b:RefOrder>4</b:RefOrder>
  </b:Source>
  <b:Source>
    <b:Tag>Bur16</b:Tag>
    <b:SourceType>JournalArticle</b:SourceType>
    <b:Guid>{F5944997-4C57-435A-87E9-BDAAD185FB77}</b:Guid>
    <b:Author>
      <b:Author>
        <b:NameList>
          <b:Person>
            <b:Last>Burke</b:Last>
            <b:First>P</b:First>
            <b:Middle>J</b:Middle>
          </b:Person>
        </b:NameList>
      </b:Author>
    </b:Author>
    <b:Title>Undermined by Adverse Selection: Australia's Direct Action Abatement</b:Title>
    <b:JournalName>Economic Papers</b:JournalName>
    <b:Year>2016</b:Year>
    <b:Pages>216-229</b:Pages>
    <b:Volume>35</b:Volume>
    <b:Issue>3</b:Issue>
    <b:RefOrder>3</b:RefOrder>
  </b:Source>
  <b:Source>
    <b:Tag>Cli16</b:Tag>
    <b:SourceType>JournalArticle</b:SourceType>
    <b:Guid>{2E75FB78-6859-4373-8524-C57DBD32F28C}</b:Guid>
    <b:Author>
      <b:Author>
        <b:Corporate>Cliamte Council</b:Corporate>
      </b:Author>
    </b:Author>
    <b:Title>Waiting for the Green Light: Transport Solutions to Climate Change</b:Title>
    <b:JournalName>Climate Council</b:JournalName>
    <b:Year>2016</b:Year>
    <b:RefOrder>1</b:RefOrder>
  </b:Source>
  <b:Source>
    <b:Tag>Iri17</b:Tag>
    <b:SourceType>JournalArticle</b:SourceType>
    <b:Guid>{A708342E-41DB-4541-9E86-021EBF4067F0}</b:Guid>
    <b:Author>
      <b:Author>
        <b:NameList>
          <b:Person>
            <b:Last>Irigoyen</b:Last>
            <b:First>Claudia</b:First>
          </b:Person>
        </b:NameList>
      </b:Author>
    </b:Author>
    <b:Title>The Carbon Tax in Australia </b:Title>
    <b:JournalName>Center for Public Impact</b:JournalName>
    <b:Year>2017</b:Year>
    <b:RefOrder>2</b:RefOrder>
  </b:Source>
  <b:Source>
    <b:Tag>Fre16</b:Tag>
    <b:SourceType>JournalArticle</b:SourceType>
    <b:Guid>{D7BE1D3B-258D-4E8E-AE21-35D35026355C}</b:Guid>
    <b:Author>
      <b:Author>
        <b:NameList>
          <b:Person>
            <b:Last>Freebairn</b:Last>
            <b:First>J</b:First>
          </b:Person>
        </b:NameList>
      </b:Author>
    </b:Author>
    <b:Title>A Comparison of Policy Instruments to Reduce Greenhouse Gas Emissions</b:Title>
    <b:JournalName>Economic Papers</b:JournalName>
    <b:Year>2016</b:Year>
    <b:Pages>204-215</b:Pages>
    <b:Volume>35</b:Volume>
    <b:Issue>3</b:Issue>
    <b:RefOrder>5</b:RefOrder>
  </b:Source>
</b:Sources>
</file>

<file path=customXml/itemProps1.xml><?xml version="1.0" encoding="utf-8"?>
<ds:datastoreItem xmlns:ds="http://schemas.openxmlformats.org/officeDocument/2006/customXml" ds:itemID="{E499EA7A-A1C1-46D6-A0A3-E0CFDAB6E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2029</Words>
  <Characters>11569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2020-09-24T11:54:00Z</dcterms:created>
  <dcterms:modified xsi:type="dcterms:W3CDTF">2020-09-24T11:54:00Z</dcterms:modified>
</cp:coreProperties>
</file>